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1E88" w14:textId="15C19AEF" w:rsidR="003942AC" w:rsidRPr="003942AC" w:rsidRDefault="003942AC" w:rsidP="003942AC">
      <w:pPr>
        <w:pStyle w:val="Default"/>
        <w:rPr>
          <w:b/>
          <w:bCs/>
          <w:lang w:val="en-US"/>
        </w:rPr>
      </w:pPr>
      <w:r w:rsidRPr="003942AC">
        <w:rPr>
          <w:b/>
          <w:bCs/>
          <w:lang w:val="en-US"/>
        </w:rPr>
        <w:t xml:space="preserve">Dr </w:t>
      </w:r>
      <w:proofErr w:type="gramStart"/>
      <w:r w:rsidRPr="003942AC">
        <w:rPr>
          <w:b/>
          <w:bCs/>
          <w:lang w:val="en-US"/>
        </w:rPr>
        <w:t>Ehtesham  (</w:t>
      </w:r>
      <w:proofErr w:type="gramEnd"/>
      <w:r w:rsidRPr="003942AC">
        <w:rPr>
          <w:b/>
          <w:bCs/>
          <w:lang w:val="en-US"/>
        </w:rPr>
        <w:t xml:space="preserve">30 June </w:t>
      </w:r>
      <w:proofErr w:type="gramStart"/>
      <w:r w:rsidRPr="003942AC">
        <w:rPr>
          <w:b/>
          <w:bCs/>
          <w:lang w:val="en-US"/>
        </w:rPr>
        <w:t>2025  to</w:t>
      </w:r>
      <w:proofErr w:type="gramEnd"/>
      <w:r w:rsidRPr="003942AC">
        <w:rPr>
          <w:b/>
          <w:bCs/>
          <w:lang w:val="en-US"/>
        </w:rPr>
        <w:t xml:space="preserve"> 30 June 2026)</w:t>
      </w:r>
    </w:p>
    <w:p w14:paraId="00ABFD18" w14:textId="77777777" w:rsidR="003942AC" w:rsidRPr="003942AC" w:rsidRDefault="003942AC" w:rsidP="003942AC">
      <w:pPr>
        <w:pStyle w:val="Default"/>
        <w:rPr>
          <w:lang w:val="en-US"/>
        </w:rPr>
      </w:pPr>
    </w:p>
    <w:p w14:paraId="70995DA2" w14:textId="5F9CE574" w:rsidR="003942AC" w:rsidRDefault="003942AC" w:rsidP="003942AC">
      <w:pPr>
        <w:pStyle w:val="Default"/>
        <w:ind w:left="720"/>
        <w:rPr>
          <w:b/>
          <w:bCs/>
          <w:sz w:val="22"/>
          <w:szCs w:val="22"/>
        </w:rPr>
      </w:pPr>
      <w:r w:rsidRPr="003942AC">
        <w:rPr>
          <w:b/>
          <w:bCs/>
          <w:sz w:val="22"/>
          <w:szCs w:val="22"/>
        </w:rPr>
        <w:t>Publications</w:t>
      </w:r>
    </w:p>
    <w:p w14:paraId="211B8B54" w14:textId="77777777" w:rsidR="003942AC" w:rsidRPr="003942AC" w:rsidRDefault="003942AC" w:rsidP="003942AC">
      <w:pPr>
        <w:pStyle w:val="Default"/>
        <w:ind w:left="720"/>
        <w:rPr>
          <w:b/>
          <w:bCs/>
          <w:sz w:val="22"/>
          <w:szCs w:val="22"/>
        </w:rPr>
      </w:pPr>
    </w:p>
    <w:p w14:paraId="41F00E2A" w14:textId="77777777" w:rsidR="003942AC" w:rsidRPr="003942AC" w:rsidRDefault="003942AC" w:rsidP="00D37F8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PK"/>
        </w:rPr>
      </w:pPr>
      <w:r w:rsidRPr="003942AC">
        <w:rPr>
          <w:rFonts w:ascii="Calibri" w:hAnsi="Calibri" w:cs="Calibri"/>
          <w:color w:val="000000"/>
          <w:lang w:val="en-PK"/>
        </w:rPr>
        <w:t>Riaz A, Hajira B, Malik MO, Iqbal K, Ehtesham, Nawaz N. Effect of chewing time of high-protein meal on subjective satiety and serum ghrelin response in healthy individuals. Pak Euro J Med Life Sci. 2026;9(1):55-64. doi:10.31580/</w:t>
      </w:r>
      <w:proofErr w:type="gramStart"/>
      <w:r w:rsidRPr="003942AC">
        <w:rPr>
          <w:rFonts w:ascii="Calibri" w:hAnsi="Calibri" w:cs="Calibri"/>
          <w:color w:val="000000"/>
          <w:lang w:val="en-PK"/>
        </w:rPr>
        <w:t>pjmls.v</w:t>
      </w:r>
      <w:proofErr w:type="gramEnd"/>
      <w:r w:rsidRPr="003942AC">
        <w:rPr>
          <w:rFonts w:ascii="Calibri" w:hAnsi="Calibri" w:cs="Calibri"/>
          <w:color w:val="000000"/>
          <w:lang w:val="en-PK"/>
        </w:rPr>
        <w:t xml:space="preserve">9i1.3445 </w:t>
      </w:r>
    </w:p>
    <w:p w14:paraId="315C4C08" w14:textId="77777777" w:rsidR="003942AC" w:rsidRPr="003942AC" w:rsidRDefault="003942AC" w:rsidP="00D37F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PK"/>
        </w:rPr>
      </w:pPr>
    </w:p>
    <w:p w14:paraId="3CDDA287" w14:textId="77777777" w:rsidR="003942AC" w:rsidRPr="003942AC" w:rsidRDefault="003942AC" w:rsidP="00D37F8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color w:val="000000"/>
          <w:lang w:val="en-PK"/>
        </w:rPr>
      </w:pPr>
      <w:r w:rsidRPr="003942AC">
        <w:rPr>
          <w:rFonts w:ascii="Calibri" w:hAnsi="Calibri" w:cs="Calibri"/>
          <w:color w:val="000000"/>
          <w:lang w:val="en-PK"/>
        </w:rPr>
        <w:t>Maqbool DE, Hajira B, Malik MO, Ehtesham, Alam I. Effect of high protein meal consumed at different frequency on serum IGF-1 levels in physically active individuals. Pak Euro J Med Life Sci. 2025;8(4):991-998. doi:10.31580/</w:t>
      </w:r>
      <w:proofErr w:type="gramStart"/>
      <w:r w:rsidRPr="003942AC">
        <w:rPr>
          <w:rFonts w:ascii="Calibri" w:hAnsi="Calibri" w:cs="Calibri"/>
          <w:color w:val="000000"/>
          <w:lang w:val="en-PK"/>
        </w:rPr>
        <w:t>pjmls.v</w:t>
      </w:r>
      <w:proofErr w:type="gramEnd"/>
      <w:r w:rsidRPr="003942AC">
        <w:rPr>
          <w:rFonts w:ascii="Calibri" w:hAnsi="Calibri" w:cs="Calibri"/>
          <w:color w:val="000000"/>
          <w:lang w:val="en-PK"/>
        </w:rPr>
        <w:t xml:space="preserve">8i4.3446 </w:t>
      </w:r>
    </w:p>
    <w:p w14:paraId="1DB0E3CC" w14:textId="77777777" w:rsidR="003942AC" w:rsidRPr="003942AC" w:rsidRDefault="003942AC" w:rsidP="00D37F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PK"/>
        </w:rPr>
      </w:pPr>
    </w:p>
    <w:p w14:paraId="261FB8EA" w14:textId="77777777" w:rsidR="003942AC" w:rsidRPr="003942AC" w:rsidRDefault="003942AC" w:rsidP="00D37F8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color w:val="000000"/>
          <w:lang w:val="en-PK"/>
        </w:rPr>
      </w:pPr>
      <w:r w:rsidRPr="003942AC">
        <w:rPr>
          <w:rFonts w:ascii="Calibri" w:hAnsi="Calibri" w:cs="Calibri"/>
          <w:color w:val="000000"/>
          <w:lang w:val="en-PK"/>
        </w:rPr>
        <w:t xml:space="preserve">Meena Gul, Hina Khan, Bushra Rauf, Syed Murtaza Shah Bukhari, Ehtesham </w:t>
      </w:r>
      <w:proofErr w:type="spellStart"/>
      <w:r w:rsidRPr="003942AC">
        <w:rPr>
          <w:rFonts w:ascii="Calibri" w:hAnsi="Calibri" w:cs="Calibri"/>
          <w:color w:val="000000"/>
          <w:lang w:val="en-PK"/>
        </w:rPr>
        <w:t>Ehtesham</w:t>
      </w:r>
      <w:proofErr w:type="spellEnd"/>
      <w:r w:rsidRPr="003942AC">
        <w:rPr>
          <w:rFonts w:ascii="Calibri" w:hAnsi="Calibri" w:cs="Calibri"/>
          <w:color w:val="000000"/>
          <w:lang w:val="en-PK"/>
        </w:rPr>
        <w:t xml:space="preserve">, Muhammad Omar Malik, Fawad Ali Shah, Fawaz E Alanazi, Mohsin Shah. Comparative efficacy of combined myo-inositol and D-chiro inositol versus metformin across PCOS Phenotypes: enhancing ovarian function, ovulation, and stress response in a prospective clinical trial. </w:t>
      </w:r>
      <w:proofErr w:type="spellStart"/>
      <w:r w:rsidRPr="003942AC">
        <w:rPr>
          <w:rFonts w:ascii="Calibri" w:hAnsi="Calibri" w:cs="Calibri"/>
          <w:color w:val="000000"/>
          <w:lang w:val="en-PK"/>
        </w:rPr>
        <w:t>Naunyn</w:t>
      </w:r>
      <w:proofErr w:type="spellEnd"/>
      <w:r w:rsidRPr="003942AC">
        <w:rPr>
          <w:rFonts w:ascii="Calibri" w:hAnsi="Calibri" w:cs="Calibri"/>
          <w:color w:val="000000"/>
          <w:lang w:val="en-PK"/>
        </w:rPr>
        <w:t xml:space="preserve">-Schmiedeberg's Arch </w:t>
      </w:r>
      <w:proofErr w:type="spellStart"/>
      <w:r w:rsidRPr="003942AC">
        <w:rPr>
          <w:rFonts w:ascii="Calibri" w:hAnsi="Calibri" w:cs="Calibri"/>
          <w:color w:val="000000"/>
          <w:lang w:val="en-PK"/>
        </w:rPr>
        <w:t>Pharmacol</w:t>
      </w:r>
      <w:proofErr w:type="spellEnd"/>
      <w:r w:rsidRPr="003942AC">
        <w:rPr>
          <w:rFonts w:ascii="Calibri" w:hAnsi="Calibri" w:cs="Calibri"/>
          <w:color w:val="000000"/>
          <w:lang w:val="en-PK"/>
        </w:rPr>
        <w:t xml:space="preserve"> (2025). https://doi.org/10.1007/s00210-025-03813-9 </w:t>
      </w:r>
    </w:p>
    <w:p w14:paraId="2A05BE81" w14:textId="77777777" w:rsidR="003942AC" w:rsidRPr="003942AC" w:rsidRDefault="003942AC" w:rsidP="00D37F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PK"/>
        </w:rPr>
      </w:pPr>
    </w:p>
    <w:p w14:paraId="396A1801" w14:textId="77777777" w:rsidR="003942AC" w:rsidRPr="003942AC" w:rsidRDefault="003942AC" w:rsidP="00D37F8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color w:val="000000"/>
          <w:lang w:val="en-PK"/>
        </w:rPr>
      </w:pPr>
      <w:r w:rsidRPr="003942AC">
        <w:rPr>
          <w:rFonts w:ascii="Calibri" w:hAnsi="Calibri" w:cs="Calibri"/>
          <w:color w:val="000000"/>
          <w:lang w:val="en-PK"/>
        </w:rPr>
        <w:t>Rehman Z, Rahman S, Khan N, Fatima S, Ehtesham, Nazli R. Evaluating thyroid functions in mothers with small for gestational age and appropriate for gestational age neonates: insights from a Pakistani case-control study. Khyber J Med Sci. 2025;18(2):170-174. doi:10.70520/</w:t>
      </w:r>
      <w:proofErr w:type="gramStart"/>
      <w:r w:rsidRPr="003942AC">
        <w:rPr>
          <w:rFonts w:ascii="Calibri" w:hAnsi="Calibri" w:cs="Calibri"/>
          <w:color w:val="000000"/>
          <w:lang w:val="en-PK"/>
        </w:rPr>
        <w:t>kjms.v</w:t>
      </w:r>
      <w:proofErr w:type="gramEnd"/>
      <w:r w:rsidRPr="003942AC">
        <w:rPr>
          <w:rFonts w:ascii="Calibri" w:hAnsi="Calibri" w:cs="Calibri"/>
          <w:color w:val="000000"/>
          <w:lang w:val="en-PK"/>
        </w:rPr>
        <w:t xml:space="preserve">18i2.677 </w:t>
      </w:r>
    </w:p>
    <w:p w14:paraId="3627C098" w14:textId="77777777" w:rsidR="003942AC" w:rsidRPr="003942AC" w:rsidRDefault="003942AC" w:rsidP="00D37F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PK"/>
        </w:rPr>
      </w:pPr>
    </w:p>
    <w:p w14:paraId="2E146614" w14:textId="77777777" w:rsidR="003942AC" w:rsidRPr="003942AC" w:rsidRDefault="003942AC" w:rsidP="00D37F8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color w:val="000000"/>
          <w:lang w:val="en-PK"/>
        </w:rPr>
      </w:pPr>
      <w:r w:rsidRPr="003942AC">
        <w:rPr>
          <w:rFonts w:ascii="Calibri" w:hAnsi="Calibri" w:cs="Calibri"/>
          <w:color w:val="000000"/>
          <w:lang w:val="en-PK"/>
        </w:rPr>
        <w:t xml:space="preserve">Shoaib M, Khan MA, Idrees M, Ehtesham, Ali R, Luqman MW. Structural dynamics of glycosylated isoforms of Glycodelin: a comparative study through molecular dynamics simulation. Khyber Med Univ J. 2025;17(2):187-194. doi:10.35845/kmuj.2025.23776 </w:t>
      </w:r>
    </w:p>
    <w:p w14:paraId="13BAC73A" w14:textId="71891CA8" w:rsidR="00801B73" w:rsidRPr="00D34F02" w:rsidRDefault="00801B73" w:rsidP="001600CB">
      <w:pPr>
        <w:pStyle w:val="Default"/>
        <w:rPr>
          <w:b/>
          <w:bCs/>
          <w:sz w:val="22"/>
          <w:szCs w:val="22"/>
        </w:rPr>
      </w:pPr>
    </w:p>
    <w:sectPr w:rsidR="00801B73" w:rsidRPr="00D34F02" w:rsidSect="00BC69F6">
      <w:pgSz w:w="11906" w:h="17338"/>
      <w:pgMar w:top="1136" w:right="717" w:bottom="1440" w:left="9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64003"/>
    <w:multiLevelType w:val="hybridMultilevel"/>
    <w:tmpl w:val="76204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651A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18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AC"/>
    <w:rsid w:val="001600CB"/>
    <w:rsid w:val="00164F5C"/>
    <w:rsid w:val="002435EF"/>
    <w:rsid w:val="002F59E9"/>
    <w:rsid w:val="003942AC"/>
    <w:rsid w:val="00742430"/>
    <w:rsid w:val="00801B73"/>
    <w:rsid w:val="00A931F8"/>
    <w:rsid w:val="00D34F02"/>
    <w:rsid w:val="00D37F82"/>
    <w:rsid w:val="00D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028CF"/>
  <w15:chartTrackingRefBased/>
  <w15:docId w15:val="{F181CF41-884E-43EB-9F69-3645C447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942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2026-07-03T05:54:00Z</dcterms:created>
  <dcterms:modified xsi:type="dcterms:W3CDTF">2026-08-28T03:39:00Z</dcterms:modified>
</cp:coreProperties>
</file>